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3D" w:rsidRPr="00DC41D1" w:rsidRDefault="003D4D3D" w:rsidP="003D4D3D">
      <w:pPr>
        <w:spacing w:before="120" w:line="360" w:lineRule="auto"/>
        <w:jc w:val="both"/>
        <w:rPr>
          <w:rFonts w:eastAsiaTheme="majorEastAsia"/>
          <w:lang w:val="fr-FR"/>
        </w:rPr>
      </w:pPr>
      <w:r w:rsidRPr="00DC41D1">
        <w:rPr>
          <w:rFonts w:eastAsiaTheme="majorEastAsia"/>
          <w:b/>
          <w:sz w:val="24"/>
          <w:szCs w:val="24"/>
          <w:lang w:val="fr-FR"/>
        </w:rPr>
        <w:t>GIÁNG BÚT</w:t>
      </w:r>
      <w:r w:rsidRPr="00DC41D1">
        <w:rPr>
          <w:rFonts w:eastAsiaTheme="majorEastAsia"/>
          <w:sz w:val="24"/>
          <w:szCs w:val="24"/>
          <w:lang w:val="fr-FR"/>
        </w:rPr>
        <w:t xml:space="preserve">, </w:t>
      </w:r>
      <w:r w:rsidRPr="00DC41D1">
        <w:rPr>
          <w:rFonts w:eastAsiaTheme="majorEastAsia"/>
          <w:lang w:val="fr-FR"/>
        </w:rPr>
        <w:t xml:space="preserve">loại hình văn bản của Đạo giáo dân gian Việt Nam, ghi chép và khắc in các tác phẩm văn chương được viết ra trong phong trào chấn hưng lịch sử và văn hóa bản địa tại các thiện đàn, đạo quán. </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Đây là một hiện tượng văn hoá tâm linh nhằm cầu Thánh - Thần - Tiên - Phật ban cho những bài thơ văn, thông qua một người có năng lực đặc biệt. Tham gia giáng bút có: người đồng bút (nhận chữ từ thần thánh và viết ra), người nhận tự (đọc chữ và viết ra giấy), người kiểm tự (kiểm tra lại </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GB nở rộ vào cuối thế kỷ XIX - đầu thế kỷ XX cùng với sự nở rộ của các Thiện đàn (nơi cúng tế và tuyên giảng về điều thiện). Thông qua một nghi lễ, và qua một người </w:t>
      </w:r>
      <w:r w:rsidRPr="00DC41D1">
        <w:rPr>
          <w:rFonts w:eastAsiaTheme="majorEastAsia"/>
          <w:iCs/>
          <w:lang w:val="fr-FR"/>
        </w:rPr>
        <w:t>đồng bút</w:t>
      </w:r>
      <w:r w:rsidRPr="00DC41D1">
        <w:rPr>
          <w:rFonts w:eastAsiaTheme="majorEastAsia"/>
          <w:lang w:val="fr-FR"/>
        </w:rPr>
        <w:t xml:space="preserve">, các vị tiên thánh ban cho người cầu nguyện những bài thơ văn. </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Thời gian đầu, GB thường mượn lời của các vị thần trong thần điện của  Đạo giáo Trung Quốc như Văn Xương Đế quân, Quan Thánh Đế quân... Văn GB giai đoạn này đều bằng chữ Hán, được diễn đạt bằng thơ luật. Về sau, do yêu cầu mới của đời sống xã hội, thơ GB đã thay đổi. Các vị thần linh GB không chỉ là có nguồn gốc Trung Quốc nữa, mà còn có các tiên Nho liệt Thánh Việt Nam, như Trần Hưng Đạo, Phạm Ngũ Lão, Trưng Vương, Liễu Hạnh, v.v. Do yêu cầu phải đến với quảng đại quần chúng nên văn bản thường sử dụng  tiếng Việt (chữ Nôm) dưới dạngthơ lục bát, song thất lục bát. Các bản sách văn GB cũng được sưu tập ngay từ đàn GB và đưa đi khắc in ngay.</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Việc GB diễn ra ở thiện đàn vào lúc nửa đêm và thường vào ngày sóc (mùng 1) và vọng (rằm). Suốt nửa cuối thế kỷ XIX, đã có nhiều thiện đàn được mở ra ở hầu khắp các tỉnh ở Bắc Bộ: Hà Nội, Nam Định, Hà Đông, Sơn Tây, Hải Dương, Bắc Ninh, Bắc Giang, Thái Bình, Thái Nguyên, Hải Phòng, Ninh Bình, Hưng Yên, Phúc Yên,...</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Tư liệu thơ văn GB tại Viện Nghiên cứu Hán Nôm hiện còn 254 cuốn. Kinh GB được in nhiều vào các khoảng thời gian các năm 1870 - 1898 và 1906 - 1911. </w:t>
      </w:r>
      <w:r w:rsidRPr="00DC41D1">
        <w:rPr>
          <w:rFonts w:eastAsiaTheme="majorEastAsia"/>
          <w:lang w:val="fr-FR"/>
        </w:rPr>
        <w:lastRenderedPageBreak/>
        <w:t>Nội dung thơ văn GB cũng chính là nội dung, mục đích hoạt động của các thiện đàn. Đó là một chương trình tuyên truyền rộng khắp trong suốt thời gian nửa cuối thế kỷ XIX và nửa đầu thế kỷ XX tập trung vào hai vấn đề: kêu gọi lòng yêu nước thương nòi và chấn hưng văn hoá dân tộc.</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iCs/>
          <w:lang w:val="fr-FR"/>
        </w:rPr>
        <w:t>Kêu gọi lòng yêu nước thương nòi</w:t>
      </w:r>
      <w:r w:rsidRPr="00DC41D1">
        <w:rPr>
          <w:rFonts w:eastAsiaTheme="majorEastAsia"/>
          <w:i/>
          <w:lang w:val="fr-FR"/>
        </w:rPr>
        <w:t>:</w:t>
      </w:r>
      <w:r w:rsidRPr="00DC41D1">
        <w:rPr>
          <w:rFonts w:eastAsiaTheme="majorEastAsia"/>
          <w:lang w:val="fr-FR"/>
        </w:rPr>
        <w:t xml:space="preserve"> Đây là một chủ đề lớn của thơ văn GB nói riêng và thơ văn yêu nước cách mạng nói chung. Trong thơ văn GB, điều này được thể hiện ở những khía cạnh sau: GB lời của các vị anh hùng liệt nữ của dân tộc như: Trần Hưng Đạo, Phạm Ngũ Lão, Hai Bà Trưng, Bà Triệu, Bà Liệt nữ “Tiết hạnh khả phong” ở làng Đông Ngạc... GB lời của các vị thần tiên trong thần điện Việt Nam như: Tản Viên Sơn Thánh, Phù Đổng Thiên Vương, Liễu Hạnh Công chúa, Từ Đạo Hạnh... GB lời các tiên Nho, các nhà văn hoá của Việt Nam như: Tô Hiến Thành, Nguyễn Bỉnh Khiêm, Phùng Khắc Khoan, Bà tổ nghề thao ở Triều Khúc... Thơ văn GB thúc giục lòng yêu nước, thương yêu giống nòi, thấy được nỗi nhục của dân mất nước. </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iCs/>
          <w:lang w:val="fr-FR"/>
        </w:rPr>
        <w:t>Chấn hưng văn hoá dân tộc, xây dựng nếp sống mới:</w:t>
      </w:r>
      <w:r w:rsidRPr="00DC41D1">
        <w:rPr>
          <w:rFonts w:eastAsiaTheme="majorEastAsia"/>
          <w:lang w:val="fr-FR"/>
        </w:rPr>
        <w:t xml:space="preserve"> Các nội dung trong thơ văn GB thường đề cao việc nâng cao dân trí, bài bác hủ tục, đề cao phụ nữ (GB lời Thánh mẫu cho phụ nữ), khuyên sống lương thiện, thương yêu đùm bọc nhau. Các thiện đàn thường là nơi diễn ra các hoạt động cầu kê giáng bút, sáng tác thơ văn, tập hợp quần chúng, thực hành tín ngưỡng, xây dựng văn hóa mới. Thiện đàn đồng thời là cơ sở san khắc và in ấn kinh sách về tôn giáo, lịch sử, văn học, ngôn ngữ.</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Văn GB chữ Hán thường là lời văn của các vị thần linh Đạo giáo Trung Quốc, do các nhà Nho hay Đạo sĩ  sáng tác nhằm hướng đến đối tượng là người có chữ nghĩa. Văn GB chữ Nôm, ngược lại, là GB của các vị thần linh Việt Nam, hoặc là các Thánh mẫu, dành cho đối tượng là đông đảo tầng lớp bình dân. Văn GB chữ Nôm có độ dài lớn hơn các bài GB bằng chữ Hán. Còn về thể loại, văn GB Nôm thường chọn các thể thơ lục bát hoặc song thất lục bát, hoặc các thể thơ có khả năng diễn đạt phong phú nhiều nội dung. Thơ văn GB, để đạt được mục </w:t>
      </w:r>
      <w:r w:rsidRPr="00DC41D1">
        <w:rPr>
          <w:rFonts w:eastAsiaTheme="majorEastAsia"/>
          <w:lang w:val="fr-FR"/>
        </w:rPr>
        <w:lastRenderedPageBreak/>
        <w:t xml:space="preserve">tiêu phát hành và tuyên truyền như trong lời nói đầu bộ </w:t>
      </w:r>
      <w:r w:rsidRPr="00DC41D1">
        <w:rPr>
          <w:rFonts w:eastAsiaTheme="majorEastAsia"/>
          <w:i/>
          <w:lang w:val="fr-FR"/>
        </w:rPr>
        <w:t>Cổ kim truyền lục</w:t>
      </w:r>
      <w:r w:rsidRPr="00DC41D1">
        <w:rPr>
          <w:rFonts w:eastAsiaTheme="majorEastAsia"/>
          <w:lang w:val="fr-FR"/>
        </w:rPr>
        <w:t xml:space="preserve"> là: “Thư lai địa địa, tuyên truyền vạn vũ” (Sách đến mọi nơi, tuyên truyền khắp chốn) thì nhất định phải dùng chữ Nôm.</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Thơ văn GB nhằm đến nhiều đối tượng khác nhau, với mỗi loại đối tượng lại dùng các thể thơ khác nhau. Các tài liệu GB thường ghi rất rõ về thời điểm GB (giờ, ngày, tháng, năm) và thậm chí có tài liệu còn ghi rõ bài thơ văn GB này là dành cho ai quê quán ở đâu, ví dụ: </w:t>
      </w:r>
      <w:r w:rsidRPr="00DC41D1">
        <w:rPr>
          <w:rFonts w:eastAsiaTheme="majorEastAsia"/>
          <w:i/>
          <w:lang w:val="fr-FR"/>
        </w:rPr>
        <w:t>Bản thiện kinh</w:t>
      </w:r>
      <w:r w:rsidRPr="00DC41D1">
        <w:rPr>
          <w:rFonts w:eastAsiaTheme="majorEastAsia"/>
          <w:lang w:val="fr-FR"/>
        </w:rPr>
        <w:t xml:space="preserve"> (AB.355). Các văn thể và thể thơ thường được dùng trong GB như: phú, Đường luật, lục bát, song thất lục bát, phong dao, hát xẩm, từ khúc, hát nói (ca trù), gửi thư (ca trù), ngụ ngôn, tiểu thuyết...</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Một giá trị rất đặc biệt của thơ văn GB cuối thế kỷ XIX đầu thế kỷ XX là, dưới ảnh hưởng của các phong trào yêu nước, thơ văn GB đã làm phát khởi những biểu tượng mới trong văn hóa Việt Nam mà trước đó ít khi được nhắc đến. Đó là những biểu tượng về </w:t>
      </w:r>
      <w:r w:rsidRPr="00DC41D1">
        <w:rPr>
          <w:rFonts w:eastAsiaTheme="majorEastAsia"/>
          <w:i/>
          <w:lang w:val="fr-FR"/>
        </w:rPr>
        <w:t>quốc hồn, quốc túy, quốc dân, nòi giống, giống Lạc Hồng, con Rồng cháu Tiên</w:t>
      </w:r>
      <w:r w:rsidRPr="00DC41D1">
        <w:rPr>
          <w:rFonts w:eastAsiaTheme="majorEastAsia"/>
          <w:lang w:val="fr-FR"/>
        </w:rPr>
        <w:t>,... Chúng được nhắc đến rất nhiều, rất khẩn thiết và nhằm đến đối tượng là các tầng lớp nhân dân lao động.</w:t>
      </w:r>
    </w:p>
    <w:p w:rsidR="003D4D3D" w:rsidRPr="00DC41D1" w:rsidRDefault="003D4D3D" w:rsidP="003D4D3D">
      <w:pPr>
        <w:spacing w:before="120" w:line="360" w:lineRule="auto"/>
        <w:ind w:firstLine="567"/>
        <w:jc w:val="both"/>
        <w:rPr>
          <w:rFonts w:eastAsiaTheme="majorEastAsia"/>
          <w:lang w:val="fr-FR"/>
        </w:rPr>
      </w:pPr>
      <w:r w:rsidRPr="00DC41D1">
        <w:rPr>
          <w:rFonts w:eastAsiaTheme="majorEastAsia"/>
          <w:lang w:val="fr-FR"/>
        </w:rPr>
        <w:t xml:space="preserve">Nghiên cứu đầu tiên về GB là bài viết </w:t>
      </w:r>
      <w:r w:rsidRPr="00DC41D1">
        <w:rPr>
          <w:rFonts w:eastAsiaTheme="majorEastAsia"/>
          <w:i/>
          <w:iCs/>
          <w:lang w:val="fr-FR"/>
        </w:rPr>
        <w:t xml:space="preserve">Tục thờ cúng thần tiên ở Việt Nam </w:t>
      </w:r>
      <w:r w:rsidRPr="00DC41D1">
        <w:rPr>
          <w:rFonts w:eastAsiaTheme="majorEastAsia"/>
          <w:iCs/>
          <w:lang w:val="fr-FR"/>
        </w:rPr>
        <w:t>của</w:t>
      </w:r>
      <w:r w:rsidRPr="00DC41D1">
        <w:rPr>
          <w:rFonts w:eastAsiaTheme="majorEastAsia"/>
          <w:i/>
          <w:iCs/>
          <w:lang w:val="fr-FR"/>
        </w:rPr>
        <w:t xml:space="preserve"> </w:t>
      </w:r>
      <w:r w:rsidRPr="00DC41D1">
        <w:rPr>
          <w:rFonts w:eastAsiaTheme="majorEastAsia"/>
          <w:lang w:val="fr-FR"/>
        </w:rPr>
        <w:t>Nguyễn Văn Huyên</w:t>
      </w:r>
      <w:r w:rsidRPr="00DC41D1">
        <w:rPr>
          <w:rFonts w:eastAsiaTheme="majorEastAsia"/>
          <w:iCs/>
          <w:lang w:val="fr-FR"/>
        </w:rPr>
        <w:t xml:space="preserve"> công bố năm</w:t>
      </w:r>
      <w:r w:rsidRPr="00DC41D1">
        <w:rPr>
          <w:rFonts w:eastAsiaTheme="majorEastAsia"/>
          <w:lang w:val="fr-FR"/>
        </w:rPr>
        <w:t xml:space="preserve"> năm 1944, trong đó, miêu tả khá kỹ về nghi thức GB ở đền Bích Câu (Hà Nội). Năm 1989, trong cuốn hồi ký </w:t>
      </w:r>
      <w:r w:rsidRPr="00DC41D1">
        <w:rPr>
          <w:rFonts w:eastAsiaTheme="majorEastAsia"/>
          <w:i/>
          <w:iCs/>
          <w:lang w:val="fr-FR"/>
        </w:rPr>
        <w:t>Nhớ nghĩ chiều hôm</w:t>
      </w:r>
      <w:r w:rsidRPr="00DC41D1">
        <w:rPr>
          <w:rFonts w:eastAsiaTheme="majorEastAsia"/>
          <w:lang w:val="fr-FR"/>
        </w:rPr>
        <w:t xml:space="preserve"> của mình, Đào Duy Anh đã dành 24 trang viết về </w:t>
      </w:r>
      <w:r w:rsidRPr="00DC41D1">
        <w:rPr>
          <w:rFonts w:eastAsiaTheme="majorEastAsia"/>
          <w:iCs/>
          <w:lang w:val="fr-FR"/>
        </w:rPr>
        <w:t>“</w:t>
      </w:r>
      <w:r w:rsidRPr="00DC41D1">
        <w:rPr>
          <w:rFonts w:eastAsiaTheme="majorEastAsia"/>
          <w:lang w:val="fr-FR"/>
        </w:rPr>
        <w:t>phong trào Thiện đàn đối với cuộc vận động ái quốc</w:t>
      </w:r>
      <w:r w:rsidRPr="00DC41D1">
        <w:rPr>
          <w:rFonts w:eastAsiaTheme="majorEastAsia"/>
          <w:iCs/>
          <w:lang w:val="fr-FR"/>
        </w:rPr>
        <w:t>”</w:t>
      </w:r>
      <w:r w:rsidRPr="00DC41D1">
        <w:rPr>
          <w:rFonts w:eastAsiaTheme="majorEastAsia"/>
          <w:i/>
          <w:iCs/>
          <w:lang w:val="fr-FR"/>
        </w:rPr>
        <w:t xml:space="preserve"> </w:t>
      </w:r>
      <w:r w:rsidRPr="00DC41D1">
        <w:rPr>
          <w:rFonts w:eastAsiaTheme="majorEastAsia"/>
          <w:iCs/>
          <w:lang w:val="fr-FR"/>
        </w:rPr>
        <w:t>đề cập đến nội dung yêu nước của thơ văn GB</w:t>
      </w:r>
      <w:r w:rsidRPr="00DC41D1">
        <w:rPr>
          <w:rFonts w:eastAsiaTheme="majorEastAsia"/>
          <w:i/>
          <w:iCs/>
          <w:lang w:val="fr-FR"/>
        </w:rPr>
        <w:t xml:space="preserve">. </w:t>
      </w:r>
      <w:r w:rsidRPr="00DC41D1">
        <w:rPr>
          <w:rFonts w:eastAsiaTheme="majorEastAsia"/>
          <w:iCs/>
          <w:lang w:val="fr-FR"/>
        </w:rPr>
        <w:t>Năm 2006,</w:t>
      </w:r>
      <w:r w:rsidRPr="00DC41D1">
        <w:rPr>
          <w:rFonts w:eastAsiaTheme="majorEastAsia"/>
          <w:i/>
          <w:iCs/>
          <w:lang w:val="fr-FR"/>
        </w:rPr>
        <w:t xml:space="preserve"> </w:t>
      </w:r>
      <w:r w:rsidRPr="00DC41D1">
        <w:rPr>
          <w:rFonts w:eastAsiaTheme="majorEastAsia"/>
          <w:lang w:val="fr-FR"/>
        </w:rPr>
        <w:t>Nguyễn Xuân Diện có bài viết “</w:t>
      </w:r>
      <w:r w:rsidRPr="00DC41D1">
        <w:rPr>
          <w:rFonts w:eastAsiaTheme="majorEastAsia"/>
          <w:iCs/>
          <w:lang w:val="fr-FR"/>
        </w:rPr>
        <w:t>Thơ Nôm giáng bút với việc kêu gọi lòng yêu nước và chấn hưng văn hóa dân tộc</w:t>
      </w:r>
      <w:r w:rsidRPr="00DC41D1">
        <w:rPr>
          <w:rFonts w:eastAsiaTheme="majorEastAsia"/>
          <w:lang w:val="fr-FR"/>
        </w:rPr>
        <w:t xml:space="preserve">”, trong </w:t>
      </w:r>
      <w:r w:rsidRPr="00DC41D1">
        <w:rPr>
          <w:rFonts w:eastAsiaTheme="majorEastAsia"/>
          <w:i/>
          <w:lang w:val="fr-FR"/>
        </w:rPr>
        <w:t>Nghiên cứu chữ Nôm.</w:t>
      </w:r>
      <w:r w:rsidRPr="00DC41D1">
        <w:rPr>
          <w:rFonts w:eastAsiaTheme="majorEastAsia"/>
          <w:lang w:val="fr-FR"/>
        </w:rPr>
        <w:t xml:space="preserve"> Sau đó, có các luận văn, luận án của Trần Quang Huy, Nguyễn Đức Bá. Song cho đến nay, chưa có chuyên khảo về GB. GB vẫn là một đề tài nghiên cứu cần được quan tâm sâu sắc và toàn diện.</w:t>
      </w:r>
    </w:p>
    <w:p w:rsidR="003D4D3D" w:rsidRPr="00DC41D1" w:rsidRDefault="003D4D3D" w:rsidP="003D4D3D">
      <w:pPr>
        <w:spacing w:line="360" w:lineRule="auto"/>
        <w:ind w:firstLine="567"/>
        <w:jc w:val="right"/>
        <w:rPr>
          <w:rFonts w:eastAsiaTheme="majorEastAsia"/>
          <w:b/>
          <w:sz w:val="20"/>
          <w:szCs w:val="20"/>
          <w:lang w:val="fr-FR"/>
        </w:rPr>
      </w:pPr>
      <w:r w:rsidRPr="00DC41D1">
        <w:rPr>
          <w:rFonts w:eastAsiaTheme="majorEastAsia"/>
          <w:b/>
          <w:sz w:val="20"/>
          <w:szCs w:val="20"/>
          <w:lang w:val="fr-FR"/>
        </w:rPr>
        <w:t>NGUYỄN XUÂN DIỆN</w:t>
      </w:r>
    </w:p>
    <w:p w:rsidR="003D4D3D" w:rsidRPr="00DC41D1" w:rsidRDefault="003D4D3D" w:rsidP="003D4D3D">
      <w:pPr>
        <w:spacing w:line="360" w:lineRule="auto"/>
        <w:jc w:val="both"/>
        <w:rPr>
          <w:rFonts w:eastAsiaTheme="majorEastAsia"/>
          <w:b/>
          <w:sz w:val="24"/>
          <w:szCs w:val="24"/>
          <w:lang w:val="fr-FR"/>
        </w:rPr>
      </w:pPr>
      <w:r w:rsidRPr="00DC41D1">
        <w:rPr>
          <w:rFonts w:eastAsiaTheme="majorEastAsia"/>
          <w:b/>
          <w:sz w:val="24"/>
          <w:szCs w:val="24"/>
          <w:lang w:val="fr-FR"/>
        </w:rPr>
        <w:t>Tài liệu tham khảo</w:t>
      </w:r>
    </w:p>
    <w:p w:rsidR="003D4D3D" w:rsidRPr="00DC41D1" w:rsidRDefault="003D4D3D" w:rsidP="003D4D3D">
      <w:pPr>
        <w:tabs>
          <w:tab w:val="left" w:pos="851"/>
          <w:tab w:val="left" w:pos="993"/>
        </w:tabs>
        <w:spacing w:line="360" w:lineRule="auto"/>
        <w:jc w:val="both"/>
        <w:rPr>
          <w:rFonts w:eastAsiaTheme="majorEastAsia"/>
          <w:sz w:val="24"/>
          <w:szCs w:val="24"/>
          <w:lang w:val="fr-FR"/>
        </w:rPr>
      </w:pPr>
      <w:r w:rsidRPr="00DC41D1">
        <w:rPr>
          <w:rFonts w:eastAsiaTheme="majorEastAsia"/>
          <w:sz w:val="24"/>
          <w:szCs w:val="24"/>
          <w:lang w:val="fr-FR"/>
        </w:rPr>
        <w:lastRenderedPageBreak/>
        <w:t xml:space="preserve">1. Nguyễn Văn Huyên, </w:t>
      </w:r>
      <w:r w:rsidRPr="00DC41D1">
        <w:rPr>
          <w:rFonts w:eastAsiaTheme="majorEastAsia"/>
          <w:i/>
          <w:iCs/>
          <w:sz w:val="24"/>
          <w:szCs w:val="24"/>
          <w:lang w:val="fr-FR"/>
        </w:rPr>
        <w:t>Tục thờ cúng thần tiên ở Việt Nam</w:t>
      </w:r>
      <w:r w:rsidRPr="00DC41D1">
        <w:rPr>
          <w:rFonts w:eastAsiaTheme="majorEastAsia"/>
          <w:sz w:val="24"/>
          <w:szCs w:val="24"/>
          <w:lang w:val="fr-FR"/>
        </w:rPr>
        <w:t xml:space="preserve">, Nhà in Viễn Đông, Hà Nội, 1944. In lại trong </w:t>
      </w:r>
      <w:r w:rsidRPr="00DC41D1">
        <w:rPr>
          <w:rFonts w:eastAsiaTheme="majorEastAsia"/>
          <w:i/>
          <w:sz w:val="24"/>
          <w:szCs w:val="24"/>
          <w:lang w:val="fr-FR"/>
        </w:rPr>
        <w:t>Góp phần nghiên cứu văn hóa Việt Nam</w:t>
      </w:r>
      <w:r w:rsidRPr="00DC41D1">
        <w:rPr>
          <w:rFonts w:eastAsiaTheme="majorEastAsia"/>
          <w:sz w:val="24"/>
          <w:szCs w:val="24"/>
          <w:lang w:val="fr-FR"/>
        </w:rPr>
        <w:t xml:space="preserve">, Tập II, Nxb Khoa học xã hội, Hà Nội, 1993. </w:t>
      </w:r>
    </w:p>
    <w:p w:rsidR="003D4D3D" w:rsidRPr="00DC41D1" w:rsidRDefault="003D4D3D" w:rsidP="003D4D3D">
      <w:pPr>
        <w:tabs>
          <w:tab w:val="left" w:pos="851"/>
          <w:tab w:val="left" w:pos="993"/>
        </w:tabs>
        <w:spacing w:line="360" w:lineRule="auto"/>
        <w:jc w:val="both"/>
        <w:rPr>
          <w:rFonts w:eastAsiaTheme="majorEastAsia"/>
          <w:sz w:val="24"/>
          <w:szCs w:val="24"/>
          <w:lang w:val="fr-FR"/>
        </w:rPr>
      </w:pPr>
      <w:r w:rsidRPr="00DC41D1">
        <w:rPr>
          <w:rFonts w:eastAsiaTheme="majorEastAsia"/>
          <w:sz w:val="24"/>
          <w:szCs w:val="24"/>
          <w:lang w:val="fr-FR"/>
        </w:rPr>
        <w:t xml:space="preserve">2. Đào Duy Anh, </w:t>
      </w:r>
      <w:r w:rsidRPr="00DC41D1">
        <w:rPr>
          <w:rFonts w:eastAsiaTheme="majorEastAsia"/>
          <w:i/>
          <w:iCs/>
          <w:sz w:val="24"/>
          <w:szCs w:val="24"/>
          <w:lang w:val="fr-FR"/>
        </w:rPr>
        <w:t>Nhớ nghĩ chiều hôm</w:t>
      </w:r>
      <w:r w:rsidRPr="00DC41D1">
        <w:rPr>
          <w:rFonts w:eastAsiaTheme="majorEastAsia"/>
          <w:sz w:val="24"/>
          <w:szCs w:val="24"/>
          <w:lang w:val="fr-FR"/>
        </w:rPr>
        <w:t xml:space="preserve">, Nxb Trẻ, Thành phố Hồ Chí Minh, 1989. </w:t>
      </w:r>
    </w:p>
    <w:p w:rsidR="003D4D3D" w:rsidRPr="00DC41D1" w:rsidRDefault="003D4D3D" w:rsidP="003D4D3D">
      <w:pPr>
        <w:tabs>
          <w:tab w:val="left" w:pos="851"/>
          <w:tab w:val="left" w:pos="993"/>
        </w:tabs>
        <w:spacing w:line="360" w:lineRule="auto"/>
        <w:jc w:val="both"/>
        <w:rPr>
          <w:rFonts w:eastAsiaTheme="majorEastAsia"/>
          <w:sz w:val="24"/>
          <w:szCs w:val="24"/>
          <w:lang w:val="fr-FR"/>
        </w:rPr>
      </w:pPr>
      <w:r w:rsidRPr="00DC41D1">
        <w:rPr>
          <w:rFonts w:eastAsiaTheme="majorEastAsia"/>
          <w:sz w:val="24"/>
          <w:szCs w:val="24"/>
          <w:lang w:val="fr-FR"/>
        </w:rPr>
        <w:t xml:space="preserve">3. Nguyễn Xuân Diện, Thơ Nôm giáng bút với việc kêu gọi lòng yêu nước và chấn hưng văn hóa dân tộc, </w:t>
      </w:r>
      <w:r w:rsidRPr="00DC41D1">
        <w:rPr>
          <w:rFonts w:eastAsiaTheme="majorEastAsia"/>
          <w:i/>
          <w:sz w:val="24"/>
          <w:szCs w:val="24"/>
          <w:lang w:val="fr-FR"/>
        </w:rPr>
        <w:t xml:space="preserve">Nghiên cứu Chữ Nôm, </w:t>
      </w:r>
      <w:r w:rsidRPr="00DC41D1">
        <w:rPr>
          <w:rFonts w:eastAsiaTheme="majorEastAsia"/>
          <w:sz w:val="24"/>
          <w:szCs w:val="24"/>
          <w:lang w:val="fr-FR"/>
        </w:rPr>
        <w:t>Nxb Khoa học xã hội, 2006.</w:t>
      </w:r>
    </w:p>
    <w:p w:rsidR="003D4D3D" w:rsidRPr="00DC41D1" w:rsidRDefault="003D4D3D" w:rsidP="003D4D3D">
      <w:pPr>
        <w:tabs>
          <w:tab w:val="left" w:pos="851"/>
          <w:tab w:val="left" w:pos="993"/>
        </w:tabs>
        <w:spacing w:line="360" w:lineRule="auto"/>
        <w:jc w:val="both"/>
        <w:rPr>
          <w:rFonts w:eastAsiaTheme="majorEastAsia"/>
          <w:sz w:val="24"/>
          <w:szCs w:val="24"/>
          <w:lang w:val="fr-FR"/>
        </w:rPr>
      </w:pPr>
      <w:r w:rsidRPr="00DC41D1">
        <w:rPr>
          <w:rFonts w:eastAsiaTheme="majorEastAsia"/>
          <w:sz w:val="24"/>
          <w:szCs w:val="24"/>
          <w:lang w:val="fr-FR"/>
        </w:rPr>
        <w:t xml:space="preserve">4. Nguyễn Đức Bá, </w:t>
      </w:r>
      <w:r w:rsidRPr="00DC41D1">
        <w:rPr>
          <w:rFonts w:eastAsiaTheme="majorEastAsia"/>
          <w:i/>
          <w:sz w:val="24"/>
          <w:szCs w:val="24"/>
          <w:lang w:val="fr-FR"/>
        </w:rPr>
        <w:t>Tam bảo quốc âm chân kinh trong phong trào Thiện đàn nửa đầu thế kỷ XX</w:t>
      </w:r>
      <w:r w:rsidRPr="00DC41D1">
        <w:rPr>
          <w:rFonts w:eastAsiaTheme="majorEastAsia"/>
          <w:sz w:val="24"/>
          <w:szCs w:val="24"/>
          <w:lang w:val="fr-FR"/>
        </w:rPr>
        <w:t>. Khóa luận tốt nghiệp ngành Hán Nôm khóa 49, Khoa Văn học, Trường Đại học Khoa học Xã hội và Nhân văn, Đại học Quốc gia Hà Nội, Hà Nội, 2008.</w:t>
      </w:r>
    </w:p>
    <w:p w:rsidR="003D4D3D" w:rsidRPr="00DC41D1" w:rsidRDefault="003D4D3D" w:rsidP="003D4D3D">
      <w:pPr>
        <w:tabs>
          <w:tab w:val="left" w:pos="851"/>
          <w:tab w:val="left" w:pos="993"/>
        </w:tabs>
        <w:spacing w:line="360" w:lineRule="auto"/>
        <w:jc w:val="both"/>
        <w:rPr>
          <w:rFonts w:eastAsiaTheme="majorEastAsia"/>
          <w:sz w:val="24"/>
          <w:szCs w:val="24"/>
          <w:lang w:val="fr-FR"/>
        </w:rPr>
      </w:pPr>
      <w:r w:rsidRPr="00DC41D1">
        <w:rPr>
          <w:rFonts w:eastAsiaTheme="majorEastAsia"/>
          <w:sz w:val="24"/>
          <w:szCs w:val="24"/>
          <w:lang w:val="fr-FR"/>
        </w:rPr>
        <w:t xml:space="preserve">5. Trần Quang Huy, </w:t>
      </w:r>
      <w:r w:rsidRPr="00DC41D1">
        <w:rPr>
          <w:rFonts w:eastAsiaTheme="majorEastAsia"/>
          <w:i/>
          <w:sz w:val="24"/>
          <w:szCs w:val="24"/>
          <w:lang w:val="fr-FR"/>
        </w:rPr>
        <w:t>Nghiên cứu kinh giáng bút của Thiện đàn cuối thế kỷ XIX đầu thế kỷ XX</w:t>
      </w:r>
      <w:r w:rsidRPr="00DC41D1">
        <w:rPr>
          <w:rFonts w:eastAsiaTheme="majorEastAsia"/>
          <w:sz w:val="24"/>
          <w:szCs w:val="24"/>
          <w:lang w:val="fr-FR"/>
        </w:rPr>
        <w:t>. Luận án Tiến sĩ Hán Nôm, Học viện Khoa học xã hội, Hà Nội, 2016.</w:t>
      </w:r>
    </w:p>
    <w:p w:rsidR="003D4D3D" w:rsidRPr="00DC41D1" w:rsidRDefault="003D4D3D" w:rsidP="003D4D3D">
      <w:pPr>
        <w:rPr>
          <w:rFonts w:eastAsiaTheme="majorEastAsia"/>
          <w:b/>
          <w:iCs/>
          <w:lang w:val="fr-FR" w:eastAsia="zh-TW"/>
        </w:rPr>
      </w:pPr>
    </w:p>
    <w:p w:rsidR="003D4D3D" w:rsidRPr="00DC41D1" w:rsidRDefault="003D4D3D" w:rsidP="003D4D3D">
      <w:pPr>
        <w:rPr>
          <w:rFonts w:eastAsiaTheme="majorEastAsia"/>
          <w:b/>
          <w:iCs/>
          <w:lang w:val="fr-FR" w:eastAsia="zh-TW"/>
        </w:rPr>
      </w:pPr>
    </w:p>
    <w:p w:rsidR="003D4D3D" w:rsidRPr="00DC41D1" w:rsidRDefault="003D4D3D" w:rsidP="003D4D3D">
      <w:pPr>
        <w:rPr>
          <w:rFonts w:eastAsiaTheme="majorEastAsia"/>
          <w:b/>
          <w:iCs/>
          <w:lang w:val="fr-FR" w:eastAsia="zh-TW"/>
        </w:rPr>
      </w:pPr>
    </w:p>
    <w:p w:rsidR="0074324B" w:rsidRPr="003D4D3D" w:rsidRDefault="003D4D3D">
      <w:pPr>
        <w:rPr>
          <w:lang w:val="fr-FR"/>
        </w:rPr>
      </w:pPr>
      <w:bookmarkStart w:id="0" w:name="_GoBack"/>
      <w:bookmarkEnd w:id="0"/>
    </w:p>
    <w:sectPr w:rsidR="0074324B" w:rsidRPr="003D4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93"/>
    <w:rsid w:val="00220193"/>
    <w:rsid w:val="003D4D3D"/>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DA89E-0275-42B1-AD15-25F25639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3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2025-12-13T03:05:00Z</dcterms:created>
  <dcterms:modified xsi:type="dcterms:W3CDTF">2025-12-13T03:06:00Z</dcterms:modified>
</cp:coreProperties>
</file>